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u9lz8iycfrq" w:id="0"/>
      <w:bookmarkEnd w:id="0"/>
      <w:r w:rsidDel="00000000" w:rsidR="00000000" w:rsidRPr="00000000">
        <w:rPr>
          <w:rtl w:val="0"/>
        </w:rPr>
        <w:t xml:space="preserve">Housing Data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Subtitle"/>
        <w:rPr/>
      </w:pPr>
      <w:bookmarkStart w:colFirst="0" w:colLast="0" w:name="_8ukcaxcg81um" w:id="1"/>
      <w:bookmarkEnd w:id="1"/>
      <w:r w:rsidDel="00000000" w:rsidR="00000000" w:rsidRPr="00000000">
        <w:rPr>
          <w:rtl w:val="0"/>
        </w:rPr>
        <w:t xml:space="preserve">Murrumbeena Primary School Enrolment Zone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The designated neighbourhood boundary for Murrumbeena Primary School covers an area of approximately 2.4 km², situated primarily within the suburb of Murrumbeena with slight overlap into neighbouring corridors.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707093" cy="2035792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12238" l="33344" r="11807" t="18280"/>
                    <a:stretch>
                      <a:fillRect/>
                    </a:stretch>
                  </pic:blipFill>
                  <pic:spPr>
                    <a:xfrm>
                      <a:off x="0" y="0"/>
                      <a:ext cx="2707093" cy="203579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Subtitle"/>
        <w:rPr/>
      </w:pPr>
      <w:bookmarkStart w:colFirst="0" w:colLast="0" w:name="_bhcegaa315o1" w:id="2"/>
      <w:bookmarkEnd w:id="2"/>
      <w:r w:rsidDel="00000000" w:rsidR="00000000" w:rsidRPr="00000000">
        <w:rPr>
          <w:rtl w:val="0"/>
        </w:rPr>
        <w:t xml:space="preserve">Housing &amp; Apartment Breakdown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The enrolment zone is closely aligned with the Murrumbeena SA2 / suburb statistical boundary. Based on ABS Census and local housing stock data, the dwelling breakdown is distributed: </w:t>
      </w:r>
    </w:p>
    <w:tbl>
      <w:tblPr>
        <w:tblStyle w:val="Table1"/>
        <w:tblW w:w="102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35"/>
        <w:gridCol w:w="1710"/>
        <w:gridCol w:w="6315"/>
        <w:tblGridChange w:id="0">
          <w:tblGrid>
            <w:gridCol w:w="2235"/>
            <w:gridCol w:w="1710"/>
            <w:gridCol w:w="6315"/>
          </w:tblGrid>
        </w:tblGridChange>
      </w:tblGrid>
      <w:tr>
        <w:trPr>
          <w:cantSplit w:val="0"/>
          <w:trHeight w:val="635.92529296875" w:hRule="atLeast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Share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 Distribution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2.77587890625" w:hRule="atLeast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Separate Houses (Detached)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~48% – 50%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Predominantly classic California bungalows, post-war, and renovated family homes on residential streets.</w:t>
            </w:r>
          </w:p>
        </w:tc>
      </w:tr>
      <w:tr>
        <w:trPr>
          <w:cantSplit w:val="0"/>
          <w:trHeight w:val="1380" w:hRule="atLeast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Flats / Apartments / Units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~24% – 26%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Concentrated around the </w:t>
            </w: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Murrumbeena Railway Station / Neerim Road activity centre</w:t>
            </w:r>
            <w:r w:rsidDel="00000000" w:rsidR="00000000" w:rsidRPr="00000000">
              <w:rPr>
                <w:color w:val="1f1f1f"/>
                <w:rtl w:val="0"/>
              </w:rPr>
              <w:t xml:space="preserve">, </w:t>
            </w: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Poath Road</w:t>
            </w:r>
            <w:r w:rsidDel="00000000" w:rsidR="00000000" w:rsidRPr="00000000">
              <w:rPr>
                <w:color w:val="1f1f1f"/>
                <w:rtl w:val="0"/>
              </w:rPr>
              <w:t xml:space="preserve">, and along the </w:t>
            </w: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Dandenong Road</w:t>
            </w:r>
            <w:r w:rsidDel="00000000" w:rsidR="00000000" w:rsidRPr="00000000">
              <w:rPr>
                <w:color w:val="1f1f1f"/>
                <w:rtl w:val="0"/>
              </w:rPr>
              <w:t xml:space="preserve"> corridor.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Semi-Detached / Townhouses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~24% – 26%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Subdivision developments, dual-occupancy builds, and modern townhouse infill across suburban blocks.</w:t>
            </w:r>
          </w:p>
        </w:tc>
      </w:tr>
    </w:tbl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Summary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Pure Apartments &amp; Flats: ~25% of the total dwelling.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Apartments + Townhouses/Units: 50% to 52% of all residential properties in the catchment, with new residential planning approvals trending heavily towards townhouses and multi-unit developments.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52" w:top="1152" w:left="1152" w:right="115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b w:val="1"/>
      <w:bCs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b w:val="1"/>
      <w:bCs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iCs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