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yaz7od9s7q1n" w:id="0"/>
      <w:bookmarkEnd w:id="0"/>
      <w:r w:rsidDel="00000000" w:rsidR="00000000" w:rsidRPr="00000000">
        <w:rPr>
          <w:rtl w:val="0"/>
        </w:rPr>
        <w:t xml:space="preserve">Community &amp; Wellbeing Evidence Research</w:t>
      </w:r>
    </w:p>
    <w:p w:rsidR="00000000" w:rsidDel="00000000" w:rsidP="00000000" w:rsidRDefault="00000000" w:rsidRPr="00000000" w14:paraId="00000002">
      <w:pPr>
        <w:pStyle w:val="Heading2"/>
        <w:rPr/>
      </w:pPr>
      <w:bookmarkStart w:colFirst="0" w:colLast="0" w:name="_btydmwtbilzn" w:id="1"/>
      <w:bookmarkEnd w:id="1"/>
      <w:r w:rsidDel="00000000" w:rsidR="00000000" w:rsidRPr="00000000">
        <w:rPr>
          <w:rtl w:val="0"/>
        </w:rPr>
        <w:t xml:space="preserve">Historical Facts</w:t>
      </w:r>
    </w:p>
    <w:p w:rsidR="00000000" w:rsidDel="00000000" w:rsidP="00000000" w:rsidRDefault="00000000" w:rsidRPr="00000000" w14:paraId="00000003">
      <w:pPr>
        <w:pStyle w:val="Heading2"/>
        <w:numPr>
          <w:ilvl w:val="0"/>
          <w:numId w:val="3"/>
        </w:numPr>
        <w:ind w:left="720" w:hanging="360"/>
        <w:rPr>
          <w:b w:val="0"/>
          <w:bCs w:val="0"/>
        </w:rPr>
      </w:pPr>
      <w:bookmarkStart w:colFirst="0" w:colLast="0" w:name="_5tk18m5gfpov" w:id="2"/>
      <w:bookmarkEnd w:id="2"/>
      <w:r w:rsidDel="00000000" w:rsidR="00000000" w:rsidRPr="00000000">
        <w:rPr>
          <w:b w:val="0"/>
          <w:bCs w:val="0"/>
          <w:rtl w:val="0"/>
        </w:rPr>
        <w:t xml:space="preserve">100% funded by parent and undersized in 1996</w:t>
      </w:r>
    </w:p>
    <w:p w:rsidR="00000000" w:rsidDel="00000000" w:rsidP="00000000" w:rsidRDefault="00000000" w:rsidRPr="00000000" w14:paraId="00000004">
      <w:pPr>
        <w:pStyle w:val="Heading2"/>
        <w:rPr/>
      </w:pPr>
      <w:bookmarkStart w:colFirst="0" w:colLast="0" w:name="_2s70u7kuy3l9" w:id="3"/>
      <w:bookmarkEnd w:id="3"/>
      <w:r w:rsidDel="00000000" w:rsidR="00000000" w:rsidRPr="00000000">
        <w:rPr>
          <w:rtl w:val="0"/>
        </w:rPr>
        <w:t xml:space="preserve">Community Need Evidence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Density: ~4,017 people/km² — top 10% in Australia — and +7.6% growth 2021–Nov 2025 . (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wekipedia.org</w:t>
        </w:r>
      </w:hyperlink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Apartment &amp; Unit Surburb: only 45.6% of dwellings are separate houses (Victoria: 73.4%); 54.4% are flats/apartments/townhouses; flats alone 28.8% — ~2.4× the state share (12.1%); 36.4% rent; 31% live alone . Bookable indoor space substitutes for the private space apartment life lacks. (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wekipedia.org</w:t>
        </w:r>
      </w:hyperlink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Council's own admission: the Glen Eira Planning Scheme records "a deficiency in the provision and distribution of public open space… the lowest of all adjoining municipalities" and makes "multipurpose and co-located" community hubs "a Council priority". (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wekipedia.org</w:t>
        </w:r>
      </w:hyperlink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Murrumbeena Station is a Train &amp; Tram Zone Activity Centre with controls in force since 31 March 2026 (Amendment GC270): 6–12 storeys in the core, 3–6 storeys across the ~800 m catchment around the school (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Electiontracker.au</w:t>
        </w:r>
      </w:hyperlink>
      <w:r w:rsidDel="00000000" w:rsidR="00000000" w:rsidRPr="00000000">
        <w:rPr>
          <w:rtl w:val="0"/>
        </w:rPr>
        <w:t xml:space="preserve">). The community's own reference group told the State: "infrastructure upgrades must be built in—not left as afterthoughts" (</w:t>
      </w: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liberal.org.au</w:t>
        </w:r>
      </w:hyperlink>
      <w:r w:rsidDel="00000000" w:rsidR="00000000" w:rsidRPr="00000000">
        <w:rPr>
          <w:rtl w:val="0"/>
        </w:rPr>
        <w:t xml:space="preserve">) 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The growth task: Glen Eira must deliver +63,500 net new homes by 2051 (~93% on its 2023 base) ; LGA population forecast +31.7% by 2046 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Supply gap: of ~20 council hireable venues, Murrumbeena has two small/medium rooms;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no large hall, gymnasium or indoor court is available for community hire anywhere in the Carnegie–Murrumbeena–Hughesdale corridor;</w:t>
      </w:r>
      <w:r w:rsidDel="00000000" w:rsidR="00000000" w:rsidRPr="00000000">
        <w:rPr>
          <w:rtl w:val="0"/>
        </w:rPr>
        <w:t xml:space="preserve"> the only public indoor stadium is GESAC at the municipality's far southern end . Junior basketball (Carnegie Chargers, ~20 teams) trains at scattered school halls, GESAC and Monash University. 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No Council funding: Glen Eira cited a $54M ten-year revenue gap and $94M of unfunded capital projects in its 2026 rate-cap application . The winning frame: State-funded school capital, Council as advocacy partner.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The mechanism exists: Glen Eira adopts its first-ever Community Infrastructure Plan in 2026–27 ; DET "strongly encourages" school–council facility sharing via 20–30-year Community Joint Use Agreement (CJUA) ; the </w:t>
      </w:r>
      <w:r w:rsidDel="00000000" w:rsidR="00000000" w:rsidRPr="00000000">
        <w:rPr>
          <w:i w:val="1"/>
          <w:iCs w:val="1"/>
          <w:rtl w:val="0"/>
        </w:rPr>
        <w:t xml:space="preserve">Local Sports Infrastructure Fund</w:t>
      </w:r>
      <w:r w:rsidDel="00000000" w:rsidR="00000000" w:rsidRPr="00000000">
        <w:rPr>
          <w:rtl w:val="0"/>
        </w:rPr>
        <w:t xml:space="preserve"> explicitly prioritises shared facilities on school land, with councils as applicants .</w:t>
      </w:r>
    </w:p>
    <w:p w:rsidR="00000000" w:rsidDel="00000000" w:rsidP="00000000" w:rsidRDefault="00000000" w:rsidRPr="00000000" w14:paraId="0000000D">
      <w:pPr>
        <w:pStyle w:val="Heading2"/>
        <w:rPr/>
      </w:pPr>
      <w:bookmarkStart w:colFirst="0" w:colLast="0" w:name="_hieddtjozn5w" w:id="4"/>
      <w:bookmarkEnd w:id="4"/>
      <w:r w:rsidDel="00000000" w:rsidR="00000000" w:rsidRPr="00000000">
        <w:rPr>
          <w:rtl w:val="0"/>
        </w:rPr>
        <w:t xml:space="preserve">Wellbeing Evidence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MPS runs a genuine tiered wellbeing program (PCMS, RTI, Respectful Relationships, The Resilience Project, therapy dog) with exceptional outcomes: 91.5% of Years 4–6 students report positive connectedness (state: 77.1%); 92.1% endorse bullying management (state: 76.4%); absence 15.8 days vs state 21.5 . Yet wellbeing and small-group work reportedly runs in improvised spaces including a stairwell void. </w:t>
        <w:br w:type="textWrapping"/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The school is self-funding a Covered Outdoor Learning Area from its own surplus because no government capital was available — the strongest published proof of unmet facility need 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Research backing: 81% of Australians say organised sport positively influences their community, 80% say it merits government investment ; adolescent sport participation is protective against later depression/anxiety; the AIC finds structured youth activity diverts boredom and unsupervised time — a youth-engagement/crime-prevention frame usable with both parties . The State's own Active Schools statement says fit-for-purpose school facilities "act as community hubs for sporting clubs and programs after school" , and Active Victoria commits to "quality infrastructure that is accessible, respectful and inclusive" 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2"/>
        <w:rPr/>
      </w:pPr>
      <w:bookmarkStart w:colFirst="0" w:colLast="0" w:name="_rp5fbp8a8x98" w:id="5"/>
      <w:bookmarkEnd w:id="5"/>
      <w:r w:rsidDel="00000000" w:rsidR="00000000" w:rsidRPr="00000000">
        <w:rPr>
          <w:rtl w:val="0"/>
        </w:rPr>
        <w:t xml:space="preserve">Shortage Evidence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Basketball Victoria: Victoria needs 220 additional courts immediately and 22 per year to 2030; a $1.76 billion funding shortfall;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Netball Victoria: participation up 28% since 2022; school-based facilities are explicitly in scope of its 2026–28 facilities strategy (</w:t>
      </w: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GMD</w:t>
        </w:r>
      </w:hyperlink>
      <w:r w:rsidDel="00000000" w:rsidR="00000000" w:rsidRPr="00000000">
        <w:rPr>
          <w:rtl w:val="0"/>
        </w:rPr>
        <w:t xml:space="preserve">).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The adjacent Melbourne East region carries an 18-court indoor netball deficit, with school partnerships a named priority (</w:t>
      </w: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UCF</w:t>
        </w:r>
      </w:hyperlink>
      <w:r w:rsidDel="00000000" w:rsidR="00000000" w:rsidRPr="00000000">
        <w:rPr>
          <w:rtl w:val="0"/>
        </w:rPr>
        <w:t xml:space="preserve">). 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Glen Eira has no current indoor court strategy — its sport framework is the 2019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Get Active </w:t>
      </w:r>
      <w:r w:rsidDel="00000000" w:rsidR="00000000" w:rsidRPr="00000000">
        <w:rPr>
          <w:rtl w:val="0"/>
        </w:rPr>
        <w:t xml:space="preserve">study.</w:t>
      </w:r>
    </w:p>
    <w:sectPr>
      <w:headerReference r:id="rId13" w:type="default"/>
      <w:pgSz w:h="16838" w:w="11906" w:orient="portrait"/>
      <w:pgMar w:bottom="1152" w:top="1152" w:left="1152" w:right="115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Trebuchet MS" w:cs="Trebuchet MS" w:eastAsia="Trebuchet MS" w:hAnsi="Trebuchet MS"/>
      <w:b w:val="1"/>
      <w:bCs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b w:val="1"/>
      <w:bCs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0" w:before="0" w:lineRule="auto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iCs w:val="1"/>
      <w:color w:val="666666"/>
      <w:sz w:val="26"/>
      <w:szCs w:val="26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gmd.copernicus.org/articles/18/8401/2025/" TargetMode="External"/><Relationship Id="rId10" Type="http://schemas.openxmlformats.org/officeDocument/2006/relationships/hyperlink" Target="https://vic.liberal.org.au/team/martin-jung" TargetMode="External"/><Relationship Id="rId13" Type="http://schemas.openxmlformats.org/officeDocument/2006/relationships/header" Target="header1.xml"/><Relationship Id="rId12" Type="http://schemas.openxmlformats.org/officeDocument/2006/relationships/hyperlink" Target="https://ucfknights.com/sports/track-and-field/roster/player/victoria-jun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electiontracker.au/elections/vic/2026/assembly" TargetMode="External"/><Relationship Id="rId5" Type="http://schemas.openxmlformats.org/officeDocument/2006/relationships/styles" Target="styles.xml"/><Relationship Id="rId6" Type="http://schemas.openxmlformats.org/officeDocument/2006/relationships/hyperlink" Target="https://en.wikipedia.org/wiki/Steve_Dimopoulos" TargetMode="External"/><Relationship Id="rId7" Type="http://schemas.openxmlformats.org/officeDocument/2006/relationships/hyperlink" Target="https://en.wikipedia.org/wiki/Steve_Dimopoulos" TargetMode="External"/><Relationship Id="rId8" Type="http://schemas.openxmlformats.org/officeDocument/2006/relationships/hyperlink" Target="https://en.wikipedia.org/wiki/Steve_Dimopoul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