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8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2880"/>
        <w:gridCol w:w="10560"/>
        <w:tblGridChange w:id="0">
          <w:tblGrid>
            <w:gridCol w:w="1395"/>
            <w:gridCol w:w="2880"/>
            <w:gridCol w:w="1056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Arguments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Gym-space equity &amp; Funding Ratio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0.72 m²/student — 22nd of 27 nearby schools; Carnegie 1.51, Oakleigh 1.91, Glen Huntly 2.84, Parkhill 4.66; Caulfield South $9M, Hampton $9.8M, St Kilda $13.173M funded nearby; MPS's last capital works were $1.1M (2019–20) and $290k (2016–17) — no gym. Funding per student is ¼ for MPS.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Apartment/Unit Suburb indoor Court for Hire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54.4% non-standalone houses (¼ parents); 28.8% flats; 36.4% renting ; zero bookable indoor court in the Carnegie–Murrumbeena–Hughesdale corridor; Basketball Victoria's 220-court shortage.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Major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State Government’s Own Needs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The State gazetted 6–12 storeys around the school (Murrumbeena Train &amp; Tram Zone Activity Centre 31 Mar 2026); Glen Eira must accommodate ~63,500 additional homes.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Major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Girls'/women's Sport Needs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~200 Netball teams outdoor-only at Duncan McKinnon; Murrumbeena Netball Club (40+ teams, founded by MPS parents) has no indoor home; netball participation +28% since 2022;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 Victorian association official: "some clubs have wiped their training altogether."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Major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Growth Capped Due to Capacity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554–557 students under a formal enrollment restriction because of in-door space;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existing hall ~50% of the VSBA competition standard. Herald Sun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Major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Tri-Council regional asset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The new gym can serve residents of Glen Eira, Monash and Stonnington; 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Monash's only two relief centres are sports venues; Stonnington's Penpraze Park court is also school-managed.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Major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Wellbeing &amp; Inclusion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AToSS connectedness 91.5% vs 77.1% state; wellbeing programs run in improvised spaces (a stairwell void). Making inclusion hard; gym = PE, assemblies, performances, group programs, afterschool care.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Public safety &amp; climate resilience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No published relief centre in the Murrumbeena–Carnegie–Hughesdale cluster; 374 excess deaths in the Jan 2009 heatwave; the Disaster Ready Fund is already buying this asset class. Supporting only — requires council buy-in first (§8.5).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Youth engagement / crime prevention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630"/>
              <w:rPr/>
            </w:pPr>
            <w:r w:rsidDel="00000000" w:rsidR="00000000" w:rsidRPr="00000000">
              <w:rPr>
                <w:rtl w:val="0"/>
              </w:rPr>
              <w:t xml:space="preserve">AIC: structured activity diverts youth from antisocial behaviour; the Coalition's own agenda names "crime prevention and youth engagement" — the gym is prevention infrastructure. No youth center in the area.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Public-school pride "we've paid our way"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Parents built the 1996 hall; the community raises ~$37k/yr; parent satisfaction 91.1% vs state 82% (school-supplied data). Today 80%+ contribution pay for repairs, portable refurbishing, COLA, STEM Room.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Condition &amp; Dignity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1996 parent-funded hall, ~30 years old, failing sub-floor plumbing; the school is self-funding a covered outdoor learning area from its own surplus because no capital came. VSBA's own data as at December 2025 — records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Murrumbeena Primary School at a condition score of 3.1, rated "Poor". </w:t>
            </w:r>
            <w:r w:rsidDel="00000000" w:rsidR="00000000" w:rsidRPr="00000000">
              <w:rPr>
                <w:rtl w:val="0"/>
              </w:rPr>
              <w:t xml:space="preserve">That places MPS third-lowest of the 19 Glen Eira government schools in the table (behind only Ormond PS at 2.98 and Glen Huntly PS at 3.06), the lowest-rated school of any size above 500 students in the municipality, and within the roughly 8 per cent of metropolitan schools.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System-failure evidence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VAGO: advocacy and an "active local member" are de facto selection factors; election commitments bypass the queue — so become one. Clearly lack of school funding. Labour also promised to fund a new gym.</w:t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